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5F" w:rsidRPr="00901D21" w:rsidRDefault="00254E5F" w:rsidP="00254E5F">
      <w:pPr>
        <w:snapToGrid w:val="0"/>
        <w:spacing w:after="240"/>
        <w:jc w:val="center"/>
        <w:rPr>
          <w:rFonts w:ascii="Arial" w:eastAsia="MS PMincho" w:hAnsi="Arial" w:cs="Arial"/>
          <w:b/>
          <w:bCs/>
          <w:sz w:val="22"/>
          <w:szCs w:val="22"/>
          <w:lang w:val="es-ES"/>
        </w:rPr>
      </w:pPr>
      <w:bookmarkStart w:id="0" w:name="_GoBack"/>
      <w:bookmarkEnd w:id="0"/>
      <w:r w:rsidRPr="00901D21">
        <w:rPr>
          <w:rFonts w:ascii="Arial" w:eastAsia="MS PMincho" w:hAnsi="Arial" w:cs="Arial"/>
          <w:b/>
          <w:bCs/>
          <w:sz w:val="22"/>
          <w:szCs w:val="22"/>
          <w:lang w:val="es-ES"/>
        </w:rPr>
        <w:t xml:space="preserve">Intervención del Japón en la vigesimoquinta sesión del Comité de Desarrollo y Propiedad Intelectual (CDIP) de la OMPI </w:t>
      </w:r>
    </w:p>
    <w:p w:rsidR="00254E5F" w:rsidRPr="008E4DA0" w:rsidRDefault="00254E5F" w:rsidP="00254E5F">
      <w:pPr>
        <w:snapToGrid w:val="0"/>
        <w:spacing w:after="240"/>
        <w:jc w:val="center"/>
        <w:rPr>
          <w:rFonts w:ascii="Arial" w:eastAsia="MS PMincho" w:hAnsi="Arial" w:cs="Arial"/>
          <w:b/>
          <w:bCs/>
          <w:sz w:val="22"/>
          <w:szCs w:val="22"/>
          <w:lang w:val="es-ES"/>
        </w:rPr>
      </w:pPr>
      <w:r w:rsidRPr="008E4DA0">
        <w:rPr>
          <w:rFonts w:ascii="Arial" w:eastAsia="MS PMincho" w:hAnsi="Arial" w:cs="Arial"/>
          <w:b/>
          <w:bCs/>
          <w:sz w:val="22"/>
          <w:szCs w:val="22"/>
          <w:lang w:val="es-ES"/>
        </w:rPr>
        <w:t>9 a 12 de noviembre de 2020</w:t>
      </w:r>
    </w:p>
    <w:p w:rsidR="00254E5F" w:rsidRPr="00901D21" w:rsidRDefault="00254E5F" w:rsidP="00254E5F">
      <w:pPr>
        <w:pStyle w:val="Heading1"/>
        <w:keepNext w:val="0"/>
        <w:spacing w:before="0" w:after="240"/>
        <w:rPr>
          <w:b w:val="0"/>
          <w:szCs w:val="22"/>
        </w:rPr>
      </w:pPr>
      <w:r>
        <w:rPr>
          <w:b w:val="0"/>
          <w:szCs w:val="22"/>
        </w:rPr>
        <w:t>Punto 5</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54E5F" w:rsidRPr="008E4DA0" w:rsidTr="005705FA">
        <w:tc>
          <w:tcPr>
            <w:tcW w:w="9067" w:type="dxa"/>
            <w:shd w:val="clear" w:color="auto" w:fill="auto"/>
          </w:tcPr>
          <w:p w:rsidR="00254E5F" w:rsidRPr="00901D21" w:rsidRDefault="00254E5F" w:rsidP="005705FA">
            <w:pPr>
              <w:spacing w:after="240"/>
              <w:rPr>
                <w:rFonts w:ascii="Arial" w:hAnsi="Arial" w:cs="Arial"/>
                <w:b/>
                <w:sz w:val="22"/>
                <w:szCs w:val="22"/>
                <w:lang w:val="es-ES"/>
              </w:rPr>
            </w:pPr>
            <w:r w:rsidRPr="00901D21">
              <w:rPr>
                <w:rFonts w:ascii="Arial" w:hAnsi="Arial" w:cs="Arial"/>
                <w:b/>
                <w:sz w:val="22"/>
                <w:szCs w:val="22"/>
                <w:lang w:val="es-ES"/>
              </w:rPr>
              <w:t>Punto 5 del orden del día: Declaraciones generales</w:t>
            </w:r>
          </w:p>
        </w:tc>
      </w:tr>
    </w:tbl>
    <w:p w:rsidR="00254E5F" w:rsidRPr="00901D21" w:rsidRDefault="00254E5F" w:rsidP="00254E5F">
      <w:pPr>
        <w:spacing w:before="240" w:after="240"/>
        <w:rPr>
          <w:rFonts w:ascii="Arial" w:eastAsia="MS Gothic" w:hAnsi="Arial" w:cs="Arial"/>
          <w:sz w:val="22"/>
          <w:szCs w:val="22"/>
          <w:lang w:val="es-ES"/>
        </w:rPr>
      </w:pPr>
      <w:r w:rsidRPr="00901D21">
        <w:rPr>
          <w:rFonts w:ascii="Arial" w:eastAsia="MS Gothic" w:hAnsi="Arial" w:cs="Arial"/>
          <w:sz w:val="22"/>
          <w:szCs w:val="22"/>
          <w:lang w:val="es-ES"/>
        </w:rPr>
        <w:t>Gracias, señora presidenta.</w:t>
      </w:r>
    </w:p>
    <w:p w:rsidR="00254E5F" w:rsidRPr="00901D21" w:rsidRDefault="00254E5F" w:rsidP="00254E5F">
      <w:pPr>
        <w:spacing w:after="240"/>
        <w:rPr>
          <w:rFonts w:ascii="Arial" w:eastAsia="MS Gothic" w:hAnsi="Arial" w:cs="Arial"/>
          <w:sz w:val="22"/>
          <w:szCs w:val="22"/>
          <w:lang w:val="es-ES"/>
        </w:rPr>
      </w:pPr>
      <w:r w:rsidRPr="00901D21">
        <w:rPr>
          <w:rFonts w:ascii="Arial" w:eastAsia="MS Gothic" w:hAnsi="Arial" w:cs="Arial"/>
          <w:sz w:val="22"/>
          <w:szCs w:val="22"/>
          <w:lang w:val="es-ES"/>
        </w:rPr>
        <w:t>La delegación del Japón se suma a la declaración formulada por la delegación del Reino Unido en nombre del Grupo B.</w:t>
      </w:r>
    </w:p>
    <w:p w:rsidR="00254E5F" w:rsidRPr="00901D21" w:rsidRDefault="00254E5F" w:rsidP="00254E5F">
      <w:pPr>
        <w:spacing w:after="240"/>
        <w:rPr>
          <w:rFonts w:ascii="Arial" w:eastAsia="MS Gothic" w:hAnsi="Arial" w:cs="Arial"/>
          <w:sz w:val="22"/>
          <w:szCs w:val="22"/>
          <w:lang w:val="es-ES"/>
        </w:rPr>
      </w:pPr>
      <w:r w:rsidRPr="00901D21">
        <w:rPr>
          <w:rFonts w:ascii="Arial" w:eastAsia="MS Gothic" w:hAnsi="Arial" w:cs="Arial"/>
          <w:sz w:val="22"/>
          <w:szCs w:val="22"/>
          <w:lang w:val="es-ES"/>
        </w:rPr>
        <w:t>Ante todo, quisiéramos expresar nuestro agradecimiento a la Secretaría por sus esfuerzos para organizar esta reunión en las difíciles circunstancias actuales debidas a la pandemia de COVID-19. Participaremos activamente en los esfuerzos de la OMPI para superar esta difícil situación.</w:t>
      </w:r>
      <w:r>
        <w:rPr>
          <w:rFonts w:ascii="Arial" w:eastAsia="MS Gothic" w:hAnsi="Arial" w:cs="Arial"/>
          <w:sz w:val="22"/>
          <w:szCs w:val="22"/>
          <w:lang w:val="es-ES"/>
        </w:rPr>
        <w:t xml:space="preserve"> </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 xml:space="preserve">Cada año desde 1987, el Gobierno del Japón ha hecho contribuciones voluntarias a la OMPI para sus iniciativas de desarrollo en la esfera de la PI. Este año, al igual que el año pasado, el Japón ha aportado 6,3 millones de francos suizos. </w:t>
      </w:r>
    </w:p>
    <w:p w:rsidR="00254E5F" w:rsidRPr="00901D21" w:rsidRDefault="00254E5F" w:rsidP="00254E5F">
      <w:pPr>
        <w:spacing w:after="240"/>
        <w:rPr>
          <w:rFonts w:ascii="Arial" w:hAnsi="Arial" w:cs="Arial"/>
          <w:sz w:val="22"/>
          <w:szCs w:val="22"/>
          <w:highlight w:val="yellow"/>
          <w:lang w:val="es-ES"/>
        </w:rPr>
      </w:pPr>
      <w:r w:rsidRPr="00901D21">
        <w:rPr>
          <w:rFonts w:ascii="Arial" w:hAnsi="Arial" w:cs="Arial"/>
          <w:sz w:val="22"/>
          <w:szCs w:val="22"/>
          <w:lang w:val="es-ES"/>
        </w:rPr>
        <w:t>Haciendo un uso eficaz de esas contribuciones voluntarias, que se conocen como el fondo fiduciario del Japón, el Japón ha puesto en marcha diversos programas de asistencia a los países en desarrollo de todo el mundo en materia de propiedad industrial. Desde 1996, la Oficina Japonesa de Patentes (JPO) ha invitado a más de 1 800 becarios procedentes de 61 países y cuatro oficinas regionales de propiedad industrial. Asimismo, desde 1987, la JPO ha enviado a más de 400 de sus propios expertos a 38 países. En el marco del plan de trabajo se prevé la realización de talleres y seminarios, así como el suministro de la asistencia necesaria a las oficinas de propiedad intelectual para poner en marcha o mejorar su infraestructura informática.</w:t>
      </w:r>
      <w:r>
        <w:rPr>
          <w:rFonts w:ascii="Arial" w:hAnsi="Arial" w:cs="Arial"/>
          <w:sz w:val="22"/>
          <w:szCs w:val="22"/>
          <w:lang w:val="es-ES"/>
        </w:rPr>
        <w:t xml:space="preserve"> </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Quisiéramos aprovechar esta oportunidad para presentar algunas de las actividades realizadas en el marco del fondo fiduciario del Japón.</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En primer lugar, los recursos del fondo fiduciario se han utilizado para apoyar las actividades relacionadas con la contribución de la OMPI a la aplicación de los objetivos de desarrollo sostenible.</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A modo de ejemplo, el fondo fiduciario permitió financiar una conferencia de tres días organizada por la OMPI, la ARIPO, la OAPI y el Gobierno de la República de Zimbabwe, que se celebró en Harare (Zimbabwe), en noviembre de 2019. En esa conferencia, el Sr. Kunihiko Shimano, el anterior comisionado adjunto de la JPO, pronunció los discursos de apertura y clausura en los que destacó la importancia de potenciar la innovación y lograr un desarrollo económico sostenible en todos los países de África. Diversas partes interesadas del ámbito de la PI de numerosos países africanos participaron en la conferencia y en los instructivos y apasionantes debates que tuvieron lugar en las sesiones especiales para las pymes. La conferencia ofreció la posibilidad de examinar la hoja de ruta y el plan de acción quinquenal en los que se exponen las medidas destinadas a asegurar que el marco de PI permita la creación de un ecosistema de innovación avanzada en África. A nuestro juicio, esa conferencia podría servir de modelo para todas aquellas personas que prevean organizar o participar en conferencias o eventos que contribuyan a impulsar el desarrollo sostenible de la economía regional.</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lastRenderedPageBreak/>
        <w:t>Asimismo, la JPO, en colaboración con la OMPI y la JETRO, organizó un seminario sobre “el apoyo de la PI a las empresas emergentes en África y entrevistas individuales”, al que asistieron representantes de ocho organizaciones gubernamentales y 11 empresas emergentes de África y que tenía por objeto apoyar a las empresas emergentes en lo que atañe a la PI. En el seminario, la JPO expuso las dificultades a las que se enfrentan las empresas emergentes y las pymes en lo que concierne a la PI y las medidas adoptadas por la JPO para superarlas. Por su parte, las organizaciones gubernamentales africanas presentaron las medidas de apoyo a las empresas emergentes y a las pymes que habían adoptado. Los participantes tuvieron así la posibilidad de comprender mejor los aspectos que deben tener en cuenta las empresas emergentes para impulsar su desarrollo y de intercambiar ideas sobre las medidas necesarias. Creemos que este evento podría ser útil a quienes deseen organizar seminarios similares o participar en ellos.</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 xml:space="preserve">Además, el Japón copatrocinó un evento que llevaba por título "Diálogo sobre la utilización del sistema de PI para el desarrollo económico, social y cultural", celebrado en octubre de 2019 en Tokio, en colaboración con la </w:t>
      </w:r>
      <w:r w:rsidR="008E4DA0" w:rsidRPr="008E4DA0">
        <w:rPr>
          <w:rFonts w:ascii="Arial" w:hAnsi="Arial" w:cs="Arial"/>
          <w:sz w:val="22"/>
          <w:szCs w:val="22"/>
          <w:lang w:val="es-ES"/>
        </w:rPr>
        <w:t>Oficina de la OMPI para los Países Árabes</w:t>
      </w:r>
      <w:r w:rsidRPr="00901D21">
        <w:rPr>
          <w:rFonts w:ascii="Arial" w:hAnsi="Arial" w:cs="Arial"/>
          <w:sz w:val="22"/>
          <w:szCs w:val="22"/>
          <w:lang w:val="es-ES"/>
        </w:rPr>
        <w:t xml:space="preserve">, la Oficina de la OMPI en el Japón y seis países árabes, a saber, Arabia Saudita, Bahrein, Egipto, Kuwait, Marruecos y los Emiratos Árabes Unidos. Valoramos la ampliación de las alianzas en torno a las actividades de cooperación realizadas con recursos del fondo fiduciario del Japón. </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En segundo lugar, el fondo fiduciario del Japón también se ha empleado para contribuir a la realización de actividades relacionadas con la PI y el desarrollo en el entorno digital.</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El fondo fiduciario del Japón se ha utilizado para contribuir a la digitalización de los datos nacionales de PI en varios países desde 2017. En 2019, por ejemplo, contribuyó a la digitalización de documentos de patente en Filipinas y Viet Nam. Consideramos que el hecho de disponer de datos digitales de alta calidad sobre los derechos de PI nacionales permite mejorar la eficacia de la administración de las oficinas de PI de estos países y permite a los usuarios gestionar sus solicitudes de forma más eficaz.</w:t>
      </w:r>
      <w:r>
        <w:rPr>
          <w:rFonts w:ascii="Arial" w:hAnsi="Arial" w:cs="Arial"/>
          <w:sz w:val="22"/>
          <w:szCs w:val="22"/>
          <w:lang w:val="es-ES"/>
        </w:rPr>
        <w:t xml:space="preserve"> </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 xml:space="preserve">Asimismo, el fondo fiduciario ha permitido financiar el proyecto de optimización del flujo de trabajo que se ha llevado a cabo en varios países de la ASEAN desde 2017. Este proyecto ha logrado optimizar los procesos institucionales para la gestión de las solicitudes con arreglo a los requisitos de cada oficina de propiedad intelectual y ha mejorado la comodidad de los usuarios. </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Por otro lado, el fondo fiduciario ha financiado una amplia gama de actividades de creación de capacidad relacionadas con la infraestructura técnica de las instituciones de PI en varios países de la ASEAN y de África. En Myanmar, concretamente, el fondo fiduciario se utilizó para financiar un taller destinado a presentar el sistema informático en el marco de su implantación en la institución de PI. Gracias a ese taller, Viet Nam y la República Democrática Popular Lao intercambiaron con Myanmar su experiencia sobre la adopción de las tecnologías de la información. A nuestro juicio, la implantación de un entorno digital no solo requiere flujos de trabajo institucionales y sistemas informáticos pertinentes, sino también un buen conocimiento de esas cuestiones; el fondo fiduciario puede contribuir a mejorar el nivel de conocimientos de las oficinas de PI.</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En el ámbito de los derechos de autor, el Japón ha venido apoyando el desarrollo de la industria de la cultura y de los contenidos en la región de Asia y el Pacífico, mediante el establecimiento de sistemas de derechos de autor y el desarrollo de los recursos humanos. Gracias al fondo fiduciario, el Japón ha llevado a cabo diversas actividades, como la organización de seminarios y simposios, el envío de expertos en derecho de autor al extranjero y la acogida de más de 370 becarios de 28 países.</w:t>
      </w:r>
      <w:r>
        <w:rPr>
          <w:rFonts w:ascii="Arial" w:hAnsi="Arial" w:cs="Arial"/>
          <w:sz w:val="22"/>
          <w:szCs w:val="22"/>
          <w:lang w:val="es-ES"/>
        </w:rPr>
        <w:t xml:space="preserve"> </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Quisiéramos referirnos a continuación a la plataforma WIPO GREEN, que se menciona en los documentos de trabajo CDIP/25/2 y CDIP/25/6.</w:t>
      </w:r>
    </w:p>
    <w:p w:rsidR="00254E5F" w:rsidRPr="008E4DA0" w:rsidRDefault="00254E5F" w:rsidP="00254E5F">
      <w:pPr>
        <w:spacing w:after="240"/>
        <w:rPr>
          <w:rFonts w:ascii="Arial" w:hAnsi="Arial" w:cs="Arial"/>
          <w:sz w:val="22"/>
          <w:szCs w:val="22"/>
          <w:highlight w:val="yellow"/>
          <w:lang w:val="es-ES"/>
        </w:rPr>
      </w:pPr>
      <w:r w:rsidRPr="00901D21">
        <w:rPr>
          <w:rFonts w:ascii="Arial" w:hAnsi="Arial" w:cs="Arial"/>
          <w:sz w:val="22"/>
          <w:szCs w:val="22"/>
          <w:lang w:val="es-ES"/>
        </w:rPr>
        <w:lastRenderedPageBreak/>
        <w:t xml:space="preserve">La JPO se incorporó a WIPO GREEN como socio en febrero de este año. La JPO ha estado apoyando las actividades de WIPO GREEN en cooperación con la Oficina de la OMPI en el Japón con recursos del fondo fiduciario. A partir de este año, como socio de WIPO GREEN, la JPO desea contribuir de manera más proactiva a las actividades de la plataforma. Esperamos con interés poder colaborar con muchos de los socios. </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Desearíamos aprovechar esta oportunidad para presentar las iniciativas emprendidas por la JPO para la difusión de WIPO GREEN. Con anterioridad al Día Mundial de la PI, el 26 de abril, la JPO puso en marcha una nueva página web destinada a presentar la plataforma WIPO GREEN. En esa página se publican artículos en los que se presentan algunas actividades de los socios del Japón. Veintitrés socios del Japón se han incorporado a WIPO GREEN y sus diferentes actividades están accesibles para consulta. Creemos que esa página podría servir de base para actividades futuras y de guía para quienes estén considerando la posibilidad de adherirse a WIPO GREEN como socios, o quieran utilizar el mecanismo WIPO GREEN, como las personas interesadas en las tecnologías verdes. Esperamos que esta página contribuya a impulsar la expansión de las actividades de WIPO GREEN.</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 xml:space="preserve">Por último, quisiéramos actualizar la información sobre IP Advantage en relación con la economía creativa, que es el tema del punto 8 del orden del día de esta sesión. </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 xml:space="preserve">Estamos convencidos de que IP Advantage, que es una recopilación de estudios de casos exitosos de proyectos que utilizan la PI, es una herramienta eficaz en el contexto del desarrollo, aunque no se ha incluido en ninguno de los documentos de trabajo de esta sesión. En 2008, la JPO y la Oficina de la OMPI en el Japón pusieron en marcha un proyecto con recursos del fondo fiduciario, en virtud del cual la Oficina de la OMPI en el Japón debía recolectar, desarrollar y difundir experiencias exitosas de creación intelectual y empresarial. Con el tiempo, la iniciativa se habría de convertir en la base de datos “IP Advantage”, una recopilación de más de 200 estudios de casos. Dado que algunos de los casos recopilados se refieren específicamente a la industria creativa, que es el tema del punto 8 del orden del día (La propiedad intelectual y el desarrollo), quisiéramos presentarlos a continuación. </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El primero es una iniciativa del Laboratorio Ishinomaki. En 2011, el Japón fue golpeado por el terremoto más fuerte jamás registrado y por un devastador tsunami. Después del desastre, la población tomó una serie de iniciativas para restablecer sus vidas. Una de ellas fue la iniciativa del Laboratorio Ishinomaki, que ofreció un espacio para que la gente reconstruyera su comunidad a través de proyectos de bricolaje (hágalo usted mismo). Habiendo obtenido los derechos de marca para una gama única de muebles y productos afines fabricados por personas que deseaban reconstruir sus vidas, el Laboratorio Ishinomaki ha logrado proteger su marca establecida de bricolaje.</w:t>
      </w:r>
    </w:p>
    <w:p w:rsidR="00254E5F" w:rsidRPr="00901D21" w:rsidRDefault="00254E5F" w:rsidP="00254E5F">
      <w:pPr>
        <w:spacing w:after="240"/>
        <w:rPr>
          <w:rFonts w:ascii="Arial" w:hAnsi="Arial" w:cs="Arial"/>
          <w:sz w:val="22"/>
          <w:szCs w:val="22"/>
          <w:lang w:val="es-ES"/>
        </w:rPr>
      </w:pPr>
      <w:r w:rsidRPr="00901D21">
        <w:rPr>
          <w:rFonts w:ascii="Arial" w:hAnsi="Arial" w:cs="Arial"/>
          <w:sz w:val="22"/>
          <w:szCs w:val="22"/>
          <w:lang w:val="es-ES"/>
        </w:rPr>
        <w:t xml:space="preserve">El segundo es una iniciativa de la empresa Toyota Motor Corporation, que es consciente de la importancia de proteger sus </w:t>
      </w:r>
      <w:r w:rsidR="00376FA8">
        <w:rPr>
          <w:rFonts w:ascii="Arial" w:hAnsi="Arial" w:cs="Arial"/>
          <w:sz w:val="22"/>
          <w:szCs w:val="22"/>
          <w:lang w:val="es-ES"/>
        </w:rPr>
        <w:t xml:space="preserve">invenciones </w:t>
      </w:r>
      <w:r w:rsidRPr="00901D21">
        <w:rPr>
          <w:rFonts w:ascii="Arial" w:hAnsi="Arial" w:cs="Arial"/>
          <w:sz w:val="22"/>
          <w:szCs w:val="22"/>
          <w:lang w:val="es-ES"/>
        </w:rPr>
        <w:t>y sus marcas para seguir siendo exitosa en las cambiantes esferas de la innovación y el desarrollo de marcas. En 1890, Sakichi Toyoda, el fundador de Toyota, presentó una solicitud de patente para un telar de madera manual. Desde entonces la empresa ha solicitado patentes para varias de sus invenciones, lo que ha favorecido el crecimiento de su negocio. Además, ha sido muy proactiva a la hora de proteger sus activos de marca. Su cartera de PI incluye un gran número de marcas registradas en el marco del Sistema de Madrid de la OMPI. El registro de las marcas ayuda a proteger los signos distintivos de un producto de la falsificación, así como de otras formas de apropiación indebida. Toyota Motor Corporation siempre se ha esforzado por ampliar su cartera de PI valorando y protegiendo sus activos intangibles durante más de un siglo.</w:t>
      </w:r>
    </w:p>
    <w:p w:rsidR="00254E5F" w:rsidRPr="00901D21" w:rsidRDefault="00254E5F" w:rsidP="00254E5F">
      <w:pPr>
        <w:keepNext/>
        <w:keepLines/>
        <w:spacing w:after="240"/>
        <w:rPr>
          <w:rFonts w:ascii="Arial" w:hAnsi="Arial" w:cs="Arial"/>
          <w:sz w:val="22"/>
          <w:szCs w:val="22"/>
          <w:lang w:val="es-ES"/>
        </w:rPr>
      </w:pPr>
      <w:r w:rsidRPr="00901D21">
        <w:rPr>
          <w:rFonts w:ascii="Arial" w:hAnsi="Arial" w:cs="Arial"/>
          <w:sz w:val="22"/>
          <w:szCs w:val="22"/>
          <w:lang w:val="es-ES"/>
        </w:rPr>
        <w:t>El Japón reconoce la importancia de que las actividades de desarrollo se realicen de forma eficaz y eficiente, en consonancia con los objetivos de la OMPI, en aras de la protección de la PI. De cara al futuro, el Gobierno del Japón, en cooperación con la OMPI, está empeñado en seguir mejorando sus iniciativas de cooperación para asegurar que el fondo fiduciario del Japón se utilice de manera aún más eficiente y eficaz.</w:t>
      </w:r>
    </w:p>
    <w:p w:rsidR="00512BA1" w:rsidRPr="00254E5F" w:rsidRDefault="00254E5F" w:rsidP="00254E5F">
      <w:pPr>
        <w:spacing w:after="240"/>
        <w:rPr>
          <w:rFonts w:ascii="Arial" w:hAnsi="Arial" w:cs="Arial"/>
          <w:sz w:val="22"/>
          <w:szCs w:val="22"/>
        </w:rPr>
      </w:pPr>
      <w:r w:rsidRPr="00901D21">
        <w:rPr>
          <w:rFonts w:ascii="Arial" w:hAnsi="Arial" w:cs="Arial"/>
          <w:sz w:val="22"/>
          <w:szCs w:val="22"/>
        </w:rPr>
        <w:t>Gracias, señora presidenta.</w:t>
      </w:r>
    </w:p>
    <w:sectPr w:rsidR="00512BA1" w:rsidRPr="00254E5F" w:rsidSect="00254E5F">
      <w:headerReference w:type="default" r:id="rId7"/>
      <w:pgSz w:w="11907" w:h="16840" w:code="9"/>
      <w:pgMar w:top="1134"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E5F" w:rsidRDefault="00254E5F">
      <w:r>
        <w:separator/>
      </w:r>
    </w:p>
  </w:endnote>
  <w:endnote w:type="continuationSeparator" w:id="0">
    <w:p w:rsidR="00254E5F" w:rsidRPr="009D30E6" w:rsidRDefault="00254E5F" w:rsidP="007E663E">
      <w:pPr>
        <w:rPr>
          <w:sz w:val="17"/>
          <w:szCs w:val="17"/>
        </w:rPr>
      </w:pPr>
      <w:r w:rsidRPr="009D30E6">
        <w:rPr>
          <w:sz w:val="17"/>
          <w:szCs w:val="17"/>
        </w:rPr>
        <w:separator/>
      </w:r>
    </w:p>
    <w:p w:rsidR="00254E5F" w:rsidRPr="008E4DA0" w:rsidRDefault="00254E5F" w:rsidP="007E663E">
      <w:pPr>
        <w:spacing w:after="60"/>
        <w:rPr>
          <w:sz w:val="17"/>
          <w:szCs w:val="17"/>
          <w:lang w:val="es-ES"/>
        </w:rPr>
      </w:pPr>
      <w:r w:rsidRPr="008E4DA0">
        <w:rPr>
          <w:sz w:val="17"/>
          <w:lang w:val="es-ES"/>
        </w:rPr>
        <w:t>[Continuación de la nota de la página anterior]</w:t>
      </w:r>
    </w:p>
  </w:endnote>
  <w:endnote w:type="continuationNotice" w:id="1">
    <w:p w:rsidR="00254E5F" w:rsidRPr="008E4DA0" w:rsidRDefault="00254E5F" w:rsidP="007E663E">
      <w:pPr>
        <w:spacing w:before="60"/>
        <w:jc w:val="right"/>
        <w:rPr>
          <w:sz w:val="17"/>
          <w:szCs w:val="17"/>
          <w:lang w:val="es-ES"/>
        </w:rPr>
      </w:pPr>
      <w:r w:rsidRPr="008E4DA0">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Mincho">
    <w:altName w:val="MS Gothic"/>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E5F" w:rsidRDefault="00254E5F">
      <w:r>
        <w:separator/>
      </w:r>
    </w:p>
  </w:footnote>
  <w:footnote w:type="continuationSeparator" w:id="0">
    <w:p w:rsidR="00254E5F" w:rsidRPr="009D30E6" w:rsidRDefault="00254E5F" w:rsidP="007E663E">
      <w:pPr>
        <w:rPr>
          <w:sz w:val="17"/>
          <w:szCs w:val="17"/>
        </w:rPr>
      </w:pPr>
      <w:r w:rsidRPr="009D30E6">
        <w:rPr>
          <w:sz w:val="17"/>
          <w:szCs w:val="17"/>
        </w:rPr>
        <w:separator/>
      </w:r>
    </w:p>
    <w:p w:rsidR="00254E5F" w:rsidRPr="008E4DA0" w:rsidRDefault="00254E5F" w:rsidP="007E663E">
      <w:pPr>
        <w:spacing w:after="60"/>
        <w:rPr>
          <w:sz w:val="17"/>
          <w:szCs w:val="17"/>
          <w:lang w:val="es-ES"/>
        </w:rPr>
      </w:pPr>
      <w:r w:rsidRPr="008E4DA0">
        <w:rPr>
          <w:sz w:val="17"/>
          <w:lang w:val="es-ES"/>
        </w:rPr>
        <w:t>[Continuación de la nota de la página anterior]</w:t>
      </w:r>
    </w:p>
  </w:footnote>
  <w:footnote w:type="continuationNotice" w:id="1">
    <w:p w:rsidR="00254E5F" w:rsidRPr="008E4DA0" w:rsidRDefault="00254E5F" w:rsidP="007E663E">
      <w:pPr>
        <w:spacing w:before="60"/>
        <w:jc w:val="right"/>
        <w:rPr>
          <w:sz w:val="17"/>
          <w:szCs w:val="17"/>
          <w:lang w:val="es-ES"/>
        </w:rPr>
      </w:pPr>
      <w:r w:rsidRPr="008E4DA0">
        <w:rPr>
          <w:sz w:val="17"/>
          <w:szCs w:val="17"/>
          <w:lang w:val="es-ES"/>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254E5F" w:rsidRDefault="00AE7F20" w:rsidP="00477D6B">
    <w:pPr>
      <w:jc w:val="right"/>
      <w:rPr>
        <w:rFonts w:ascii="Arial" w:hAnsi="Arial" w:cs="Arial"/>
        <w:sz w:val="22"/>
        <w:szCs w:val="22"/>
        <w:lang w:val="es-ES_tradnl"/>
      </w:rPr>
    </w:pPr>
    <w:r w:rsidRPr="00254E5F">
      <w:rPr>
        <w:rFonts w:ascii="Arial" w:hAnsi="Arial" w:cs="Arial"/>
        <w:sz w:val="22"/>
        <w:szCs w:val="22"/>
        <w:lang w:val="es-ES_tradnl"/>
      </w:rPr>
      <w:t xml:space="preserve">página </w:t>
    </w:r>
    <w:r w:rsidRPr="00254E5F">
      <w:rPr>
        <w:rFonts w:ascii="Arial" w:hAnsi="Arial" w:cs="Arial"/>
        <w:sz w:val="22"/>
        <w:szCs w:val="22"/>
        <w:lang w:val="es-ES_tradnl"/>
      </w:rPr>
      <w:fldChar w:fldCharType="begin"/>
    </w:r>
    <w:r w:rsidRPr="00254E5F">
      <w:rPr>
        <w:rFonts w:ascii="Arial" w:hAnsi="Arial" w:cs="Arial"/>
        <w:sz w:val="22"/>
        <w:szCs w:val="22"/>
        <w:lang w:val="es-ES_tradnl"/>
      </w:rPr>
      <w:instrText xml:space="preserve"> PAGE  \* MERGEFORMAT </w:instrText>
    </w:r>
    <w:r w:rsidRPr="00254E5F">
      <w:rPr>
        <w:rFonts w:ascii="Arial" w:hAnsi="Arial" w:cs="Arial"/>
        <w:sz w:val="22"/>
        <w:szCs w:val="22"/>
        <w:lang w:val="es-ES_tradnl"/>
      </w:rPr>
      <w:fldChar w:fldCharType="separate"/>
    </w:r>
    <w:r w:rsidR="006334B1">
      <w:rPr>
        <w:rFonts w:ascii="Arial" w:hAnsi="Arial" w:cs="Arial"/>
        <w:noProof/>
        <w:sz w:val="22"/>
        <w:szCs w:val="22"/>
        <w:lang w:val="es-ES_tradnl"/>
      </w:rPr>
      <w:t>2</w:t>
    </w:r>
    <w:r w:rsidRPr="00254E5F">
      <w:rPr>
        <w:rFonts w:ascii="Arial" w:hAnsi="Arial" w:cs="Arial"/>
        <w:sz w:val="22"/>
        <w:szCs w:val="22"/>
        <w:lang w:val="es-ES_tradnl"/>
      </w:rPr>
      <w:fldChar w:fldCharType="end"/>
    </w:r>
  </w:p>
  <w:p w:rsidR="00AE7F20" w:rsidRDefault="00AE7F20" w:rsidP="00477D6B">
    <w:pPr>
      <w:jc w:val="right"/>
      <w:rPr>
        <w:rFonts w:ascii="Arial" w:hAnsi="Arial" w:cs="Arial"/>
        <w:sz w:val="22"/>
        <w:szCs w:val="22"/>
        <w:lang w:val="es-ES_tradnl"/>
      </w:rPr>
    </w:pPr>
  </w:p>
  <w:p w:rsidR="00254E5F" w:rsidRPr="00254E5F" w:rsidRDefault="00254E5F" w:rsidP="00477D6B">
    <w:pPr>
      <w:jc w:val="right"/>
      <w:rPr>
        <w:rFonts w:ascii="Arial" w:hAnsi="Arial" w:cs="Arial"/>
        <w:sz w:val="22"/>
        <w:szCs w:val="2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5F"/>
    <w:rsid w:val="00010686"/>
    <w:rsid w:val="00052915"/>
    <w:rsid w:val="000753B4"/>
    <w:rsid w:val="000E3BB3"/>
    <w:rsid w:val="000F5E56"/>
    <w:rsid w:val="001362EE"/>
    <w:rsid w:val="00152CEA"/>
    <w:rsid w:val="001832A6"/>
    <w:rsid w:val="00254E5F"/>
    <w:rsid w:val="002634C4"/>
    <w:rsid w:val="002C2E2F"/>
    <w:rsid w:val="002E0F47"/>
    <w:rsid w:val="002F4E68"/>
    <w:rsid w:val="00310826"/>
    <w:rsid w:val="00354647"/>
    <w:rsid w:val="00376FA8"/>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12BA1"/>
    <w:rsid w:val="00531B02"/>
    <w:rsid w:val="005332F0"/>
    <w:rsid w:val="0055013B"/>
    <w:rsid w:val="00571B99"/>
    <w:rsid w:val="00605827"/>
    <w:rsid w:val="006334B1"/>
    <w:rsid w:val="00675021"/>
    <w:rsid w:val="006A06C6"/>
    <w:rsid w:val="007224C8"/>
    <w:rsid w:val="00794BE2"/>
    <w:rsid w:val="007A5581"/>
    <w:rsid w:val="007A7839"/>
    <w:rsid w:val="007B71FE"/>
    <w:rsid w:val="007D781E"/>
    <w:rsid w:val="007E663E"/>
    <w:rsid w:val="00815082"/>
    <w:rsid w:val="0088395E"/>
    <w:rsid w:val="008B2CC1"/>
    <w:rsid w:val="008C6AC3"/>
    <w:rsid w:val="008E4DA0"/>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86421"/>
    <w:rsid w:val="00BC4164"/>
    <w:rsid w:val="00BD2DCC"/>
    <w:rsid w:val="00C90559"/>
    <w:rsid w:val="00CA0500"/>
    <w:rsid w:val="00CA2251"/>
    <w:rsid w:val="00CF255F"/>
    <w:rsid w:val="00D56C7C"/>
    <w:rsid w:val="00D71B4D"/>
    <w:rsid w:val="00D90289"/>
    <w:rsid w:val="00D93D55"/>
    <w:rsid w:val="00DC4C60"/>
    <w:rsid w:val="00DD6CF4"/>
    <w:rsid w:val="00DF4743"/>
    <w:rsid w:val="00E0079A"/>
    <w:rsid w:val="00E444DA"/>
    <w:rsid w:val="00E45C84"/>
    <w:rsid w:val="00E504E5"/>
    <w:rsid w:val="00EB7A3E"/>
    <w:rsid w:val="00EC1AA7"/>
    <w:rsid w:val="00EC401A"/>
    <w:rsid w:val="00EF530A"/>
    <w:rsid w:val="00EF6622"/>
    <w:rsid w:val="00EF78A9"/>
    <w:rsid w:val="00F55408"/>
    <w:rsid w:val="00F6399F"/>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6199F04-E720-43C6-BF72-964A6AC8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5F"/>
    <w:rPr>
      <w:rFonts w:ascii="Century" w:eastAsia="MS Mincho" w:hAnsi="Century"/>
      <w:kern w:val="2"/>
      <w:sz w:val="21"/>
      <w:szCs w:val="24"/>
      <w:lang w:val="en-US" w:eastAsia="ja-JP"/>
    </w:rPr>
  </w:style>
  <w:style w:type="paragraph" w:styleId="Heading1">
    <w:name w:val="heading 1"/>
    <w:basedOn w:val="Normal"/>
    <w:next w:val="Normal"/>
    <w:link w:val="Heading1Char"/>
    <w:qFormat/>
    <w:rsid w:val="00A32C9E"/>
    <w:pPr>
      <w:keepNext/>
      <w:spacing w:before="240" w:after="60"/>
      <w:outlineLvl w:val="0"/>
    </w:pPr>
    <w:rPr>
      <w:rFonts w:ascii="Arial" w:eastAsia="SimSun" w:hAnsi="Arial" w:cs="Arial"/>
      <w:b/>
      <w:bCs/>
      <w:caps/>
      <w:kern w:val="32"/>
      <w:sz w:val="22"/>
      <w:szCs w:val="32"/>
      <w:lang w:val="es-ES" w:eastAsia="zh-CN"/>
    </w:rPr>
  </w:style>
  <w:style w:type="paragraph" w:styleId="Heading2">
    <w:name w:val="heading 2"/>
    <w:basedOn w:val="Normal"/>
    <w:next w:val="Normal"/>
    <w:qFormat/>
    <w:rsid w:val="00A32C9E"/>
    <w:pPr>
      <w:keepNext/>
      <w:spacing w:before="240" w:after="60"/>
      <w:outlineLvl w:val="1"/>
    </w:pPr>
    <w:rPr>
      <w:rFonts w:ascii="Arial" w:eastAsia="SimSun" w:hAnsi="Arial" w:cs="Arial"/>
      <w:bCs/>
      <w:iCs/>
      <w:caps/>
      <w:kern w:val="0"/>
      <w:sz w:val="22"/>
      <w:szCs w:val="28"/>
      <w:lang w:val="es-ES" w:eastAsia="zh-CN"/>
    </w:rPr>
  </w:style>
  <w:style w:type="paragraph" w:styleId="Heading3">
    <w:name w:val="heading 3"/>
    <w:basedOn w:val="Normal"/>
    <w:next w:val="Normal"/>
    <w:qFormat/>
    <w:rsid w:val="00A32C9E"/>
    <w:pPr>
      <w:keepNext/>
      <w:spacing w:before="240" w:after="60"/>
      <w:outlineLvl w:val="2"/>
    </w:pPr>
    <w:rPr>
      <w:rFonts w:ascii="Arial" w:eastAsia="SimSun" w:hAnsi="Arial" w:cs="Arial"/>
      <w:bCs/>
      <w:kern w:val="0"/>
      <w:sz w:val="22"/>
      <w:szCs w:val="26"/>
      <w:u w:val="single"/>
      <w:lang w:val="es-ES" w:eastAsia="zh-CN"/>
    </w:rPr>
  </w:style>
  <w:style w:type="paragraph" w:styleId="Heading4">
    <w:name w:val="heading 4"/>
    <w:basedOn w:val="Normal"/>
    <w:next w:val="Normal"/>
    <w:qFormat/>
    <w:rsid w:val="00A32C9E"/>
    <w:pPr>
      <w:keepNext/>
      <w:spacing w:before="240" w:after="60"/>
      <w:outlineLvl w:val="3"/>
    </w:pPr>
    <w:rPr>
      <w:rFonts w:ascii="Arial" w:eastAsia="SimSun" w:hAnsi="Arial" w:cs="Arial"/>
      <w:bCs/>
      <w:i/>
      <w:kern w:val="0"/>
      <w:sz w:val="22"/>
      <w:szCs w:val="28"/>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rPr>
      <w:rFonts w:ascii="Arial" w:eastAsia="SimSun" w:hAnsi="Arial" w:cs="Arial"/>
      <w:kern w:val="0"/>
      <w:sz w:val="22"/>
      <w:szCs w:val="20"/>
      <w:lang w:val="es-ES" w:eastAsia="zh-CN"/>
    </w:rPr>
  </w:style>
  <w:style w:type="paragraph" w:styleId="Caption">
    <w:name w:val="caption"/>
    <w:basedOn w:val="Normal"/>
    <w:next w:val="Normal"/>
    <w:qFormat/>
    <w:rsid w:val="00A32C9E"/>
    <w:rPr>
      <w:rFonts w:ascii="Arial" w:eastAsia="SimSun" w:hAnsi="Arial" w:cs="Arial"/>
      <w:b/>
      <w:bCs/>
      <w:kern w:val="0"/>
      <w:sz w:val="18"/>
      <w:szCs w:val="20"/>
      <w:lang w:val="es-ES" w:eastAsia="zh-CN"/>
    </w:rPr>
  </w:style>
  <w:style w:type="paragraph" w:styleId="CommentText">
    <w:name w:val="annotation text"/>
    <w:basedOn w:val="Normal"/>
    <w:semiHidden/>
    <w:rsid w:val="00A32C9E"/>
    <w:rPr>
      <w:rFonts w:ascii="Arial" w:eastAsia="SimSun" w:hAnsi="Arial" w:cs="Arial"/>
      <w:kern w:val="0"/>
      <w:sz w:val="18"/>
      <w:szCs w:val="20"/>
      <w:lang w:val="es-ES" w:eastAsia="zh-CN"/>
    </w:rPr>
  </w:style>
  <w:style w:type="paragraph" w:styleId="EndnoteText">
    <w:name w:val="endnote text"/>
    <w:basedOn w:val="Normal"/>
    <w:semiHidden/>
    <w:rsid w:val="00A32C9E"/>
    <w:rPr>
      <w:rFonts w:ascii="Arial" w:eastAsia="SimSun" w:hAnsi="Arial" w:cs="Arial"/>
      <w:kern w:val="0"/>
      <w:sz w:val="18"/>
      <w:szCs w:val="20"/>
      <w:lang w:val="es-ES" w:eastAsia="zh-CN"/>
    </w:rPr>
  </w:style>
  <w:style w:type="paragraph" w:styleId="Footer">
    <w:name w:val="footer"/>
    <w:basedOn w:val="Normal"/>
    <w:semiHidden/>
    <w:rsid w:val="00A32C9E"/>
    <w:pPr>
      <w:tabs>
        <w:tab w:val="center" w:pos="4320"/>
        <w:tab w:val="right" w:pos="8640"/>
      </w:tabs>
    </w:pPr>
    <w:rPr>
      <w:rFonts w:ascii="Arial" w:eastAsia="SimSun" w:hAnsi="Arial" w:cs="Arial"/>
      <w:kern w:val="0"/>
      <w:sz w:val="22"/>
      <w:szCs w:val="20"/>
      <w:lang w:val="es-ES" w:eastAsia="zh-CN"/>
    </w:rPr>
  </w:style>
  <w:style w:type="paragraph" w:styleId="FootnoteText">
    <w:name w:val="footnote text"/>
    <w:basedOn w:val="Normal"/>
    <w:semiHidden/>
    <w:rsid w:val="00A32C9E"/>
    <w:rPr>
      <w:rFonts w:ascii="Arial" w:eastAsia="SimSun" w:hAnsi="Arial" w:cs="Arial"/>
      <w:kern w:val="0"/>
      <w:sz w:val="18"/>
      <w:szCs w:val="20"/>
      <w:lang w:val="es-ES" w:eastAsia="zh-CN"/>
    </w:rPr>
  </w:style>
  <w:style w:type="paragraph" w:customStyle="1" w:styleId="Endofdocument-Annex">
    <w:name w:val="[End of document - Annex]"/>
    <w:basedOn w:val="Normal"/>
    <w:rsid w:val="00815082"/>
    <w:pPr>
      <w:ind w:left="5534"/>
    </w:pPr>
    <w:rPr>
      <w:rFonts w:ascii="Arial" w:eastAsia="SimSun" w:hAnsi="Arial" w:cs="Arial"/>
      <w:kern w:val="0"/>
      <w:sz w:val="22"/>
      <w:szCs w:val="20"/>
      <w:lang w:eastAsia="zh-CN"/>
    </w:rPr>
  </w:style>
  <w:style w:type="paragraph" w:styleId="Header">
    <w:name w:val="header"/>
    <w:basedOn w:val="Normal"/>
    <w:semiHidden/>
    <w:rsid w:val="00A32C9E"/>
    <w:pPr>
      <w:tabs>
        <w:tab w:val="center" w:pos="4536"/>
        <w:tab w:val="right" w:pos="9072"/>
      </w:tabs>
    </w:pPr>
    <w:rPr>
      <w:rFonts w:ascii="Arial" w:eastAsia="SimSun" w:hAnsi="Arial" w:cs="Arial"/>
      <w:kern w:val="0"/>
      <w:sz w:val="22"/>
      <w:szCs w:val="20"/>
      <w:lang w:val="es-ES" w:eastAsia="zh-CN"/>
    </w:rPr>
  </w:style>
  <w:style w:type="paragraph" w:styleId="ListNumber">
    <w:name w:val="List Number"/>
    <w:basedOn w:val="Normal"/>
    <w:semiHidden/>
    <w:rsid w:val="00A32C9E"/>
    <w:pPr>
      <w:numPr>
        <w:numId w:val="4"/>
      </w:numPr>
    </w:pPr>
    <w:rPr>
      <w:rFonts w:ascii="Arial" w:eastAsia="SimSun" w:hAnsi="Arial" w:cs="Arial"/>
      <w:kern w:val="0"/>
      <w:sz w:val="22"/>
      <w:szCs w:val="20"/>
      <w:lang w:val="es-ES" w:eastAsia="zh-CN"/>
    </w:r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rPr>
      <w:rFonts w:ascii="Arial" w:eastAsia="SimSun" w:hAnsi="Arial" w:cs="Arial"/>
      <w:kern w:val="0"/>
      <w:sz w:val="22"/>
      <w:szCs w:val="20"/>
      <w:lang w:val="es-ES" w:eastAsia="zh-CN"/>
    </w:rPr>
  </w:style>
  <w:style w:type="paragraph" w:styleId="Signature">
    <w:name w:val="Signature"/>
    <w:basedOn w:val="Normal"/>
    <w:semiHidden/>
    <w:rsid w:val="00A32C9E"/>
    <w:pPr>
      <w:ind w:left="5250"/>
    </w:pPr>
    <w:rPr>
      <w:rFonts w:ascii="Arial" w:eastAsia="SimSun" w:hAnsi="Arial" w:cs="Arial"/>
      <w:kern w:val="0"/>
      <w:sz w:val="22"/>
      <w:szCs w:val="20"/>
      <w:lang w:val="es-ES" w:eastAsia="zh-CN"/>
    </w:rPr>
  </w:style>
  <w:style w:type="character" w:customStyle="1" w:styleId="Heading1Char">
    <w:name w:val="Heading 1 Char"/>
    <w:basedOn w:val="DefaultParagraphFont"/>
    <w:link w:val="Heading1"/>
    <w:rsid w:val="00254E5F"/>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61 (S)</Template>
  <TotalTime>0</TotalTime>
  <Pages>3</Pages>
  <Words>1923</Words>
  <Characters>9790</Characters>
  <Application>Microsoft Office Word</Application>
  <DocSecurity>4</DocSecurity>
  <Lines>144</Lines>
  <Paragraphs>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 LLORET Amparo</dc:creator>
  <cp:keywords>FOR OFFICIAL USE ONLY</cp:keywords>
  <cp:lastModifiedBy>ESTEVES DOS SANTOS Anabela</cp:lastModifiedBy>
  <cp:revision>2</cp:revision>
  <dcterms:created xsi:type="dcterms:W3CDTF">2020-12-08T11:33:00Z</dcterms:created>
  <dcterms:modified xsi:type="dcterms:W3CDTF">2020-12-08T11:33:00Z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